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  <w:r/>
    </w:p>
    <w:p>
      <w:pPr>
        <w:pStyle w:val="623"/>
        <w:contextualSpacing/>
        <w:ind w:left="5" w:hanging="7"/>
        <w:jc w:val="center"/>
        <w:spacing w:before="0" w:after="0" w:line="276" w:lineRule="auto"/>
        <w:rPr>
          <w:rFonts w:eastAsia="Times New Roman"/>
          <w:color w:val="000000"/>
          <w:sz w:val="72"/>
          <w:szCs w:val="72"/>
        </w:rPr>
      </w:pPr>
      <w:r>
        <w:rPr>
          <w:rFonts w:eastAsia="Times New Roman"/>
          <w:color w:val="000000"/>
          <w:sz w:val="72"/>
          <w:szCs w:val="72"/>
        </w:rPr>
        <w:t xml:space="preserve">ИНСТРУКЦИЯ ПО ТЕХНИКЕ БЕЗОПАСНОСТИ И ОХРАНЕ ТРУДА КОМПЕТЕНЦИИ </w:t>
      </w:r>
      <w:r/>
    </w:p>
    <w:p>
      <w:pPr>
        <w:pStyle w:val="623"/>
        <w:jc w:val="center"/>
        <w:rPr>
          <w:rFonts w:eastAsia="Times New Roman"/>
          <w:color w:val="000000"/>
          <w:sz w:val="72"/>
          <w:szCs w:val="72"/>
        </w:rPr>
      </w:pPr>
      <w:r>
        <w:rPr>
          <w:rFonts w:eastAsia="Times New Roman"/>
          <w:color w:val="000000"/>
          <w:sz w:val="72"/>
          <w:szCs w:val="72"/>
        </w:rPr>
        <w:t xml:space="preserve">«ДИЗАЙН МОДНОЙ ОДЕЖДЫ И АКСЕССУАРОВ»</w:t>
      </w:r>
      <w:r>
        <w:br w:type="page" w:clear="all"/>
      </w:r>
      <w:r/>
    </w:p>
    <w:p>
      <w:pPr>
        <w:pStyle w:val="623"/>
        <w:jc w:val="right"/>
        <w:rPr>
          <w:rFonts w:eastAsia="Times New Roman"/>
          <w:color w:val="000000"/>
          <w:sz w:val="72"/>
          <w:szCs w:val="72"/>
        </w:rPr>
      </w:pPr>
      <w:r>
        <w:rPr>
          <w:rFonts w:eastAsia="Times New Roman"/>
          <w:color w:val="000000"/>
          <w:sz w:val="72"/>
          <w:szCs w:val="72"/>
        </w:rPr>
      </w:r>
      <w:r/>
    </w:p>
    <w:p>
      <w:pPr>
        <w:pStyle w:val="623"/>
      </w:pPr>
      <w:r/>
      <w:r/>
    </w:p>
    <w:p>
      <w:pPr>
        <w:pStyle w:val="623"/>
      </w:pPr>
      <w:r/>
      <w:r/>
    </w:p>
    <w:p>
      <w:pPr>
        <w:pStyle w:val="623"/>
      </w:pPr>
      <w:r/>
      <w:r/>
    </w:p>
    <w:p>
      <w:pPr>
        <w:pStyle w:val="726"/>
        <w:ind w:left="0" w:firstLine="709"/>
        <w:jc w:val="center"/>
        <w:tabs>
          <w:tab w:val="clear" w:pos="360" w:leader="none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Комплект документов по охране труда компетенции</w:t>
      </w:r>
      <w:r/>
    </w:p>
    <w:p>
      <w:pPr>
        <w:pStyle w:val="726"/>
        <w:ind w:left="0" w:firstLine="709"/>
        <w:jc w:val="center"/>
        <w:tabs>
          <w:tab w:val="clear" w:pos="360" w:leader="none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«Дизайн модной одежды и аксессуаров»</w:t>
      </w:r>
      <w:r/>
    </w:p>
    <w:p>
      <w:pPr>
        <w:pStyle w:val="726"/>
        <w:ind w:left="0" w:firstLine="709"/>
        <w:jc w:val="both"/>
        <w:tabs>
          <w:tab w:val="clear" w:pos="360" w:leader="none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</w:r>
      <w:r/>
    </w:p>
    <w:p>
      <w:pPr>
        <w:pStyle w:val="62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</w:r>
      <w:r/>
    </w:p>
    <w:p>
      <w:pPr>
        <w:pStyle w:val="623"/>
      </w:pPr>
      <w:r/>
      <w:r/>
    </w:p>
    <w:p>
      <w:pPr>
        <w:pStyle w:val="623"/>
      </w:pPr>
      <w:r/>
      <w:r/>
    </w:p>
    <w:p>
      <w:pPr>
        <w:pStyle w:val="722"/>
        <w:spacing w:before="0" w:after="0" w:line="360" w:lineRule="auto"/>
      </w:pPr>
      <w:r>
        <w:t xml:space="preserve">Оглавление</w:t>
      </w:r>
      <w:r/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>
            <w:fldChar w:fldCharType="begin"/>
          </w:r>
          <w:r>
            <w:rPr>
              <w:rStyle w:val="709"/>
              <w:bCs/>
              <w:caps/>
              <w:lang w:val="en-US" w:eastAsia="en-US"/>
            </w:rPr>
            <w:instrText xml:space="preserve"> TOC \o "1-3" \h \z \u </w:instrText>
          </w:r>
          <w:r>
            <w:rPr>
              <w:rStyle w:val="709"/>
              <w:bCs/>
              <w:caps/>
              <w:lang w:val="en-US" w:eastAsia="en-US"/>
            </w:rPr>
            <w:fldChar w:fldCharType="separate"/>
          </w:r>
          <w:hyperlink w:tooltip="#__RefHeading___Toc126510485" w:anchor="__RefHeading___Toc126510485" w:history="1">
            <w:r>
              <w:rPr>
                <w:rStyle w:val="709"/>
                <w:bCs/>
                <w:caps/>
                <w:lang w:val="en-US" w:eastAsia="en-US"/>
              </w:rPr>
              <w:t xml:space="preserve">Инструкция по охране труда для Конкурсантов</w:t>
            </w:r>
            <w:r>
              <w:rPr>
                <w:rStyle w:val="709"/>
                <w:bCs/>
                <w:lang w:val="en-US" w:eastAsia="en-US"/>
              </w:rPr>
              <w:tab/>
              <w:t xml:space="preserve">3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86" w:anchor="__RefHeading___Toc126510486" w:history="1">
            <w:r>
              <w:rPr>
                <w:rStyle w:val="709"/>
                <w:lang w:val="en-US" w:eastAsia="en-US"/>
              </w:rPr>
              <w:t xml:space="preserve">1.Общие требования охраны труда</w:t>
              <w:tab/>
              <w:t xml:space="preserve">3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87" w:anchor="__RefHeading___Toc126510487" w:history="1">
            <w:r>
              <w:rPr>
                <w:rStyle w:val="709"/>
                <w:lang w:val="en-US" w:eastAsia="en-US"/>
              </w:rPr>
              <w:t xml:space="preserve">2.Требования охраны труда перед началом работы</w:t>
              <w:tab/>
              <w:t xml:space="preserve">6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88" w:anchor="__RefHeading___Toc126510488" w:history="1">
            <w:r>
              <w:rPr>
                <w:rStyle w:val="709"/>
                <w:lang w:val="en-US" w:eastAsia="en-US"/>
              </w:rPr>
              <w:t xml:space="preserve">3.Требования охраны труда во время работы</w:t>
              <w:tab/>
              <w:t xml:space="preserve">9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89" w:anchor="__RefHeading___Toc126510489" w:history="1">
            <w:r>
              <w:rPr>
                <w:rStyle w:val="709"/>
                <w:lang w:val="en-US" w:eastAsia="en-US"/>
              </w:rPr>
              <w:t xml:space="preserve">4.Требования охраны труда в аварийных ситуациях</w:t>
              <w:tab/>
              <w:t xml:space="preserve">11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0" w:anchor="__RefHeading___Toc126510490" w:history="1">
            <w:r>
              <w:rPr>
                <w:rStyle w:val="709"/>
                <w:lang w:val="en-US" w:eastAsia="en-US"/>
              </w:rPr>
              <w:t xml:space="preserve">5.Требование охраны труда по окончании работ</w:t>
              <w:tab/>
              <w:t xml:space="preserve">12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1" w:anchor="__RefHeading___Toc126510491" w:history="1">
            <w:r>
              <w:rPr>
                <w:rStyle w:val="709"/>
                <w:caps/>
                <w:lang w:val="en-US" w:eastAsia="en-US"/>
              </w:rPr>
              <w:t xml:space="preserve">Инструкция по охране труда для экспертов</w:t>
            </w:r>
            <w:r>
              <w:rPr>
                <w:rStyle w:val="709"/>
                <w:lang w:val="en-US" w:eastAsia="en-US"/>
              </w:rPr>
              <w:tab/>
              <w:t xml:space="preserve">14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2" w:anchor="__RefHeading___Toc126510492" w:history="1">
            <w:r>
              <w:rPr>
                <w:rStyle w:val="709"/>
                <w:lang w:val="en-US" w:eastAsia="en-US"/>
              </w:rPr>
              <w:t xml:space="preserve">1.Общие требования охраны труда</w:t>
              <w:tab/>
              <w:t xml:space="preserve">14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3" w:anchor="__RefHeading___Toc126510493" w:history="1">
            <w:r>
              <w:rPr>
                <w:rStyle w:val="709"/>
                <w:lang w:val="en-US" w:eastAsia="en-US"/>
              </w:rPr>
              <w:t xml:space="preserve">2.Требования охраны труда перед началом работы</w:t>
              <w:tab/>
              <w:t xml:space="preserve">15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4" w:anchor="__RefHeading___Toc126510494" w:history="1">
            <w:r>
              <w:rPr>
                <w:rStyle w:val="709"/>
                <w:lang w:val="en-US" w:eastAsia="en-US"/>
              </w:rPr>
              <w:t xml:space="preserve">3.Требования охраны труда во время работы</w:t>
              <w:tab/>
              <w:t xml:space="preserve">16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5" w:anchor="__RefHeading___Toc126510495" w:history="1">
            <w:r>
              <w:rPr>
                <w:rStyle w:val="709"/>
                <w:lang w:val="en-US" w:eastAsia="en-US"/>
              </w:rPr>
              <w:t xml:space="preserve">4.Требования охраны труда в аварийных ситуациях</w:t>
              <w:tab/>
              <w:t xml:space="preserve">18</w:t>
            </w:r>
          </w:hyperlink>
          <w:r/>
          <w:r/>
        </w:p>
        <w:p>
          <w:pPr>
            <w:pStyle w:val="723"/>
            <w:tabs>
              <w:tab w:val="clear" w:pos="708" w:leader="none"/>
              <w:tab w:val="right" w:pos="9911" w:leader="dot"/>
            </w:tabs>
            <w:rPr>
              <w:rFonts w:ascii="Calibri" w:hAnsi="Calibri" w:eastAsia="Times New Roman" w:cs="Calibri"/>
              <w:sz w:val="22"/>
              <w:szCs w:val="22"/>
              <w:lang w:val="en-US" w:eastAsia="en-US"/>
            </w:rPr>
          </w:pPr>
          <w:r/>
          <w:hyperlink w:tooltip="#__RefHeading___Toc126510496" w:anchor="__RefHeading___Toc126510496" w:history="1">
            <w:r>
              <w:rPr>
                <w:rStyle w:val="709"/>
                <w:lang w:val="en-US" w:eastAsia="en-US"/>
              </w:rPr>
              <w:t xml:space="preserve">5.Требование охраны труда по окончании работ</w:t>
              <w:tab/>
              <w:t xml:space="preserve">19</w:t>
            </w:r>
          </w:hyperlink>
          <w:r>
            <w:rPr>
              <w:rStyle w:val="709"/>
              <w:lang w:val="en-US" w:eastAsia="en-US"/>
            </w:rPr>
            <w:fldChar w:fldCharType="end"/>
          </w:r>
          <w:r/>
        </w:p>
      </w:sdtContent>
    </w:sdt>
    <w:p>
      <w:pPr>
        <w:pStyle w:val="623"/>
        <w:spacing w:line="360" w:lineRule="auto"/>
        <w:rPr>
          <w:rFonts w:ascii="Calibri" w:hAnsi="Calibri" w:eastAsia="Times New Roman" w:cs="Calibri"/>
          <w:b/>
          <w:bCs/>
          <w:sz w:val="22"/>
          <w:szCs w:val="22"/>
          <w:lang w:val="en-US" w:eastAsia="en-US"/>
        </w:rPr>
      </w:pPr>
      <w:r>
        <w:rPr>
          <w:rFonts w:ascii="Calibri" w:hAnsi="Calibri" w:eastAsia="Times New Roman" w:cs="Calibri"/>
          <w:b/>
          <w:bCs/>
          <w:sz w:val="22"/>
          <w:szCs w:val="22"/>
          <w:lang w:val="en-US" w:eastAsia="en-US"/>
        </w:rPr>
      </w:r>
      <w:r/>
    </w:p>
    <w:p>
      <w:pPr>
        <w:pStyle w:val="623"/>
      </w:pPr>
      <w:r/>
      <w:r>
        <w:br w:type="page" w:clear="all"/>
      </w:r>
      <w:r/>
    </w:p>
    <w:p>
      <w:pPr>
        <w:pStyle w:val="624"/>
        <w:ind w:firstLine="709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624"/>
        <w:ind w:firstLine="709"/>
        <w:spacing w:before="120" w:after="120" w:line="240" w:lineRule="auto"/>
      </w:pPr>
      <w:r/>
      <w:bookmarkStart w:id="0" w:name="__RefHeading___Toc126510485"/>
      <w:r>
        <w:rPr>
          <w:rFonts w:ascii="Times New Roman" w:hAnsi="Times New Roman" w:cs="Times New Roman"/>
          <w:caps/>
          <w:color w:val="000000"/>
          <w:lang w:eastAsia="en-US"/>
        </w:rPr>
        <w:t xml:space="preserve">Инструкция по охране труда для Конкурсантов</w:t>
      </w:r>
      <w:bookmarkEnd w:id="0"/>
      <w:r>
        <w:rPr>
          <w:rFonts w:ascii="Times New Roman" w:hAnsi="Times New Roman" w:cs="Times New Roman"/>
          <w:caps/>
          <w:color w:val="000000"/>
          <w:lang w:eastAsia="en-US"/>
        </w:rPr>
        <w:t xml:space="preserve"> </w:t>
      </w:r>
      <w:r/>
    </w:p>
    <w:p>
      <w:pPr>
        <w:pStyle w:val="623"/>
        <w:ind w:firstLine="709"/>
        <w:jc w:val="center"/>
        <w:spacing w:before="120" w:after="120"/>
        <w:rPr>
          <w:rFonts w:ascii="Times New Roman" w:hAnsi="Times New Roman" w:cs="Times New Roman"/>
          <w:caps/>
          <w:color w:val="000000"/>
          <w:lang w:eastAsia="en-US"/>
        </w:rPr>
      </w:pPr>
      <w:r>
        <w:rPr>
          <w:rFonts w:cs="Times New Roman"/>
          <w:caps/>
          <w:color w:val="000000"/>
          <w:lang w:eastAsia="en-US"/>
        </w:rPr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1" w:name="__RefHeading___Toc126510486"/>
      <w:r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1.Общие требования охраны труда</w:t>
      </w:r>
      <w:r/>
    </w:p>
    <w:p>
      <w:pPr>
        <w:pStyle w:val="623"/>
        <w:ind w:firstLine="709"/>
        <w:jc w:val="both"/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Для участников от 14 до 18 лет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1.1. К участию в конкурсе, под непосредственным руководством Экспертов Компетенции «Дизайн модной одежды и аксессуаров» допускаются участники в возрасте от 14 до 18 лет: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- прошедшие инструктаж по охране труда по «Программе инструктажа по охране труда и технике безопасности»;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ознакомленные с инструкцией по охране труда;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имеющие необходимые навыки по эксплуатации инструмента, приспособлений совместной работы на оборудовании;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не имеющие противопоказаний к выполнению конкурсных заданий по состоянию здоровья.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Для участников старше 18 лет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1.1. К самостоятельному выполнению конкурсных заданий в Компетенции «Дизайн модной одежды и аксессуаров» допускаются участники не моложе 18 лет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- прошедшие инструктаж по охране труда по «Программе инструктажа по охране труда и технике безопасности»;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ознакомленные с инструкцией по охране труда;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- имеющие необходимые навыки по эксплуатации инструмента, приспособлений совместной работы на оборудовании;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не имеющие противопоказаний к выполнению конкурсных заданий по состоянию здоровья.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инструкции по охране труда и технике безопасности; 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- не заходить за ограждения и в технические помещения;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соблюдать личную гигиену;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принимать пищу в строго отведенных местах;</w:t>
      </w:r>
      <w:r/>
    </w:p>
    <w:p>
      <w:pPr>
        <w:pStyle w:val="623"/>
        <w:ind w:firstLine="709"/>
        <w:jc w:val="both"/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самостоятельно использовать инструмент и оборудование, разрешенное к выполнению конкурсного задания;</w:t>
      </w:r>
      <w:r/>
    </w:p>
    <w:p>
      <w:pPr>
        <w:pStyle w:val="623"/>
        <w:ind w:firstLine="709"/>
        <w:jc w:val="both"/>
        <w:spacing w:line="276" w:lineRule="auto"/>
      </w:pPr>
      <w:r>
        <w:rPr>
          <w:sz w:val="28"/>
          <w:szCs w:val="28"/>
          <w:lang w:eastAsia="en-US"/>
        </w:rPr>
        <w:t xml:space="preserve">1.3. Участник для выполнения конкурсного задания использует и</w:t>
      </w:r>
      <w:r>
        <w:t xml:space="preserve">нструмент:</w:t>
      </w:r>
      <w:r/>
    </w:p>
    <w:tbl>
      <w:tblPr>
        <w:tblW w:w="10147" w:type="dxa"/>
        <w:tblInd w:w="-1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163"/>
        <w:gridCol w:w="6984"/>
      </w:tblGrid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7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Наименование инструмента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использует самостоятельно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использует под наблюдением эксперта или назначенного ответственного лица старше 18 лет: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Карандаши различной твердости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Ластик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Маркеры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Фломастеры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Цветные карандаши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Точилка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</w:tbl>
    <w:p>
      <w:pPr>
        <w:pStyle w:val="623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1.4. Конкурсанты</w:t>
      </w:r>
      <w:r>
        <w:t xml:space="preserve"> для выполнения конкурсного задания использует оборудование:</w:t>
      </w:r>
      <w:r/>
    </w:p>
    <w:tbl>
      <w:tblPr>
        <w:tblW w:w="10147" w:type="dxa"/>
        <w:tblInd w:w="-1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003"/>
        <w:gridCol w:w="6144"/>
      </w:tblGrid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7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Наименование оборудования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3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использует самостоятельно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4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выполняет конкурсное задание совместно с экспертом или назначенным лицом старше 18 лет: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Компьютер в сборе с монитором, клавиатура и мышь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Принтер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3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Графический планшет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4" w:type="dxa"/>
            <w:textDirection w:val="lrTb"/>
            <w:noWrap w:val="false"/>
          </w:tcPr>
          <w:p>
            <w:pPr>
              <w:pStyle w:val="623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</w:tbl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1.5. При выполнении конкурсного задания на участника могут воздействовать следующие вредные и (или) опасные факторы: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Физические: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-режущие и колющие предметы;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электрический ток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шум;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уровень электромагнитного излучения;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уровень статического электричества;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повышенная яркость освещения;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уровень пульсации светового потока;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повышенное значение напряжения в электрической цепи, замыкание которой может    произойти через тело человека;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или пониженный уровень освещенности;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повышенный уровень прямой и отраженной яркости монитора.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Химические: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Реакция на состав красителя маркеров, фломастеров и т.д.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Психологические: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-чрезмерное напряжение внимания;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-усиленная нагрузка на зрение;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-повышенная ответственность.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1.6. Применяемые во время выполнения конкурсного задания средства индивидуальной защиты: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обувь с нескользкой подошвой и без каблуков;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беруши или наушники.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1.7. Знаки безопасности, используемые на рабочем месте, для обозначения присутствующих опасностей:</w: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  <w:u w:val="single"/>
        </w:rPr>
        <w:t xml:space="preserve"> F 04 Огнетушитель        </w:t>
      </w:r>
      <w:r>
        <w:rPr>
          <w:color w:val="000000"/>
          <w:sz w:val="28"/>
          <w:szCs w:val="28"/>
        </w:rPr>
        <w:t xml:space="preserve">                                          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1325" cy="441325"/>
                <wp:effectExtent l="0" t="0" r="0" b="0"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41325" cy="441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4.8pt;height:34.8pt;mso-wrap-distance-left:0.0pt;mso-wrap-distance-top:0.0pt;mso-wrap-distance-right:0.0pt;mso-wrap-distance-bottom:0.0pt;" stroked="false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 E 22 Указатель выхода</w:t>
      </w:r>
      <w:r>
        <w:rPr>
          <w:color w:val="000000"/>
          <w:sz w:val="28"/>
          <w:szCs w:val="28"/>
        </w:rPr>
        <w:t xml:space="preserve">                 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3430" cy="411480"/>
                <wp:effectExtent l="0" t="0" r="0" b="0"/>
                <wp:docPr id="2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-15" t="-29" r="-15" b="-28"/>
                        <a:stretch/>
                      </pic:blipFill>
                      <pic:spPr bwMode="auto">
                        <a:xfrm>
                          <a:off x="0" y="0"/>
                          <a:ext cx="773430" cy="411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0.9pt;height:32.4pt;mso-wrap-distance-left:0.0pt;mso-wrap-distance-top:0.0pt;mso-wrap-distance-right:0.0pt;mso-wrap-distance-bottom:0.0pt;" stroked="false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E 23 Указатель запасного выхода</w:t>
      </w:r>
      <w:r>
        <w:rPr>
          <w:color w:val="000000"/>
          <w:sz w:val="28"/>
          <w:szCs w:val="28"/>
        </w:rPr>
        <w:t xml:space="preserve">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3275" cy="441325"/>
                <wp:effectExtent l="0" t="0" r="0" b="0"/>
                <wp:docPr id="3" name="Image3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3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-15" t="-28" r="-15" b="-28"/>
                        <a:stretch/>
                      </pic:blipFill>
                      <pic:spPr bwMode="auto">
                        <a:xfrm>
                          <a:off x="0" y="0"/>
                          <a:ext cx="803275" cy="441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3.2pt;height:34.8pt;mso-wrap-distance-left:0.0pt;mso-wrap-distance-top:0.0pt;mso-wrap-distance-right:0.0pt;mso-wrap-distance-bottom:0.0pt;" stroked="false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EC 01 Аптечка первой медицинской помощи      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805" cy="471805"/>
                <wp:effectExtent l="0" t="0" r="0" b="0"/>
                <wp:docPr id="4" name="Image4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4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37.1pt;height:37.1pt;mso-wrap-distance-left:0.0pt;mso-wrap-distance-top:0.0pt;mso-wrap-distance-right:0.0pt;mso-wrap-distance-bottom:0.0pt;" stroked="false">
                <v:path textboxrect="0,0,0,0"/>
                <v:imagedata r:id="rId14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P 01 Запрещается курить</w:t>
      </w:r>
      <w:r>
        <w:rPr>
          <w:color w:val="000000"/>
          <w:sz w:val="28"/>
          <w:szCs w:val="28"/>
        </w:rPr>
        <w:t xml:space="preserve">                 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487680"/>
                <wp:effectExtent l="0" t="0" r="0" b="0"/>
                <wp:docPr id="5" name="Image5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5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87680" cy="487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38.4pt;height:38.4pt;mso-wrap-distance-left:0.0pt;mso-wrap-distance-top:0.0pt;mso-wrap-distance-right:0.0pt;mso-wrap-distance-bottom:0.0pt;" stroked="false">
                <v:path textboxrect="0,0,0,0"/>
                <v:imagedata r:id="rId15" o:title=""/>
              </v:shape>
            </w:pict>
          </mc:Fallback>
        </mc:AlternateConten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помещении ______________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</w:t>
      </w:r>
      <w:r>
        <w:rPr>
          <w:sz w:val="28"/>
          <w:szCs w:val="28"/>
        </w:rPr>
        <w:t xml:space="preserve">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1.9. Участники, допустившие невыполнение или нарушение инструкции по охране труда, привлекаются к ответственности в соответствии с нормативной документацией чемпионата.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2" w:name="__RefHeading___Toc126510487"/>
      <w:r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 xml:space="preserve">2.Требования охраны труда перед началом работы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Перед началом работы участники должны выполнить следующее: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2.1. В подготовительный день все участники должны ознакомит</w:t>
      </w:r>
      <w:r>
        <w:rPr>
          <w:sz w:val="28"/>
          <w:szCs w:val="28"/>
        </w:rPr>
        <w:t xml:space="preserve">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2.2. Подготовить рабочее место: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разместить инструмент и расходные материалы на рабочем месте;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произвести запуск оборудования на пробном образце.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2.3. Подготовить инструмент и оборудование,</w:t>
      </w:r>
      <w:r>
        <w:t xml:space="preserve"> разрешенное к самостоятельной работе:</w:t>
      </w:r>
      <w:r/>
    </w:p>
    <w:tbl>
      <w:tblPr>
        <w:tblW w:w="5000" w:type="pct"/>
        <w:tblInd w:w="-1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30"/>
        <w:gridCol w:w="6491"/>
      </w:tblGrid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Наименование инструмента или оборудования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1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Правила подготовки к выполнению конкурсного задания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Компьютер в сборе с монитором, клавиатура и мышь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1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Проверить исправность оборудования и приспособлений: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наличие защитных кожухов;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исправность работы мыши и клавиатуры;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исправность цветопередачи монитора;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отсутствие розеток и/или иных проводов в зоне досягаемости;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скорость работы при полной загруженности ПК;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угол наклона экрана монитора, положения клавиатуры в целях исключения неудобных поз и длительных напряжений тела;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монитор должен находиться на расстоянии не менее 50 см от глаз (оптимально 60-70 см);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следить за тем, чтобы вентиляционные отверстия устройств ничем не были закрыты.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Принтер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1" w:type="dxa"/>
            <w:textDirection w:val="lrTb"/>
            <w:noWrap w:val="false"/>
          </w:tcPr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проверить синхронность работы ПК и принтера;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совершить пробный запуск тестовой печати;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проверить наличие тонера и бумаги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Электробезопасность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Используйте шнур питания, поставляемый с принтером.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электрика проверить ее.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используйте переходник с заземлением для подключения принтера к розетке питания без контакта заземления.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используйте удлинитель или сетевой разветвитель.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Убедитесь, что принтер подключен к розетке, обеспечивающей соответствующее напряжение питания и мощность. В случае необходимости обсудите с электриком режимы питания принтера.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Правильное заземление принтера позволит избежать поражения электрическим током. При неправильном использовании электрические приборы могут представлять опасность.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в таком месте, где на шнур питания могут по неосторожности наступить.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Размещение принтера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Принтер следует устанавливать в зонах, свободных от пыли, где температура воздуха составляет 10 - 32° С (50 - 90° F), а относительная влажность — 10-80%.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Размещайте принтер так, чтобы для вентиляции, работы и обслуживания оставалось достаточно свободного места.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на полу с ковровым покрытием. Ковровые волокна могут попасть в принтер, что приведет к проблемам с качеством печати.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рядом с источником тепла.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в местах, где он может подвергнуться воздействию прямых солнечных лучей, во избежание повреждения чувствительных к свету компонентов.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на пути потока холодного воздуха из кондиционера.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принтер на шкафу. Сотрясение при закрывании ящиков шкафа может вызвать появление светлых полос на отпечатках.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Графический планшет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1" w:type="dxa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проверить синхронность работы ПК и планшета;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совершить тестирование работы графического планшета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Размещение графического планшета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Разместит планшет на горизонтальной поверхности перед собой на комфортном расстоянии.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Убедитесь, что во время работы на столе вам ничего не мешает. 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графический планшет рядом с источником тепла.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графический планшет в местах, где он может подвергнуться воздействию прямых солнечных лучей, во избежание повреждения чувствительных к свету компонентов.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размещайте графический планшет на пути потока холодного воздуха из кондиционера.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</w:tr>
    </w:tbl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Инструм</w:t>
      </w:r>
      <w:r>
        <w:rPr>
          <w:sz w:val="28"/>
          <w:szCs w:val="28"/>
        </w:rPr>
        <w:t xml:space="preserve">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2.5. Ежедневно, перед началом выполнения конкурсного задания, в процессе подготовки рабочего места: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осмотреть и привести в порядок рабочее место, средства индивидуальной защиты;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убедиться в достаточности освещенности;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проверить (визуально) правильность подключения инструмента и оборудования в электросеть;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2.6. Подготовить необходимые для работы материалы, приспособления, и разложить их на свои места, убрать с рабочего стола все лишнее.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2.7. Уча</w:t>
      </w:r>
      <w:r>
        <w:rPr>
          <w:sz w:val="28"/>
          <w:szCs w:val="28"/>
        </w:rPr>
        <w:t xml:space="preserve">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3" w:name="__RefHeading___Toc126510488"/>
      <w:r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 xml:space="preserve">3.Требования охраны труда во время работы</w:t>
      </w:r>
      <w:r/>
    </w:p>
    <w:p>
      <w:pPr>
        <w:pStyle w:val="623"/>
        <w:ind w:firstLine="709"/>
        <w:jc w:val="both"/>
        <w:spacing w:before="120" w:after="120"/>
      </w:pPr>
      <w:r>
        <w:t xml:space="preserve"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  <w:r/>
    </w:p>
    <w:tbl>
      <w:tblPr>
        <w:tblW w:w="5000" w:type="pct"/>
        <w:tblInd w:w="-1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97"/>
        <w:gridCol w:w="7824"/>
      </w:tblGrid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Наименование инструмента/ оборудования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24" w:type="dxa"/>
            <w:vAlign w:val="center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Требования безопасности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Компьютер в сборе с монитором, клавиатура и мышь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24" w:type="dxa"/>
            <w:vAlign w:val="center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 время работы: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необходимо аккуратно обращаться с проводами;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работать с неисправным компьютером;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заниматься очисткой компьютера, когда он находится под напряжением;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недопустимо самостоятельно проводить ремонт оборудования при отсутствии специальных навыков;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располагать рядом с компьютером жидкости, а также работать с мокрыми руками;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нельзя в процессе работы с ПК прикасаться к другим металлическим конструкциям (например, батареям);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прикасаться к задней панели персонального компьютера и другой оргтехники, монитора при включенном питании;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производить самостоятельно вскрытие и ремонт оборудования;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переключать разъемы интерфейсных кабелей периферийных устройств;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загромождение верхних панелей устройств бумагами и посторонними предметами.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Принтер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24" w:type="dxa"/>
            <w:vAlign w:val="center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Электробезопасность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кладите предметы на шнур питания.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закрывайте вентиляционные отверстия. Эти отверстия предотвращают перегрев принтера.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допускайте попадания в принтер скобок и скрепок для бумаги.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В случае возникновения необычного шума или запаха: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 Немедленно выключите принтер.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 Выньте вилку шнура питания из розетки.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3. Для устранения неполадок вызовите уполномоченного представителя по обслуживанию.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Шнур питания подключается через розетку на задней панели принтера. В случае необходимости полностью отключить электропитание принтера выньте шнур питания из розетки.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снимайте крышки или защитные панели, прикрепленные винтами, за исключением случаев установки дополнительного оборудования и выполнения специальных инструкций. При выполн</w:t>
            </w:r>
            <w:r>
              <w:rPr>
                <w:rFonts w:eastAsia="Times New Roman"/>
                <w:sz w:val="28"/>
                <w:szCs w:val="28"/>
              </w:rPr>
              <w:t xml:space="preserve">ении такой установки питание должно быть ОТКЛЮЧЕНО. Устанавливая дополнительное оборудование, выньте вилку шнура питания из розетки. Кроме устанавливаемого дополнительного оборудования, под этими крышками нет деталей, подлежащих обслуживанию пользователем.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Для достижения оптимальной производительности не отключайте питание принтера. Это не представляет опасности.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Угроза вашей безопасности возникает в следующих случаях: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Шнур питания поврежден или изношен.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В принтер попала жидкость.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Принтер намок.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 возникновении любой из перечисленных ситуаций выполните следующие действия: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 Немедленно выключите принтер.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2. Выньте вилку шнура питания из розетки.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3. Обратитесь к уполномоченному представителю по обслуживанию.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Безопасность при обслуживании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выполняйте никакие действия по обслуживанию, явно неописанные в документации принтера.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применяйте аэрозольные очистители. Использование неподходящих может привести к снижению производительности и возникновению опасных условий.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Безопасность при эксплуатации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Принтеры </w:t>
            </w:r>
            <w:r>
              <w:rPr>
                <w:rFonts w:eastAsia="Times New Roman"/>
                <w:sz w:val="28"/>
                <w:szCs w:val="28"/>
              </w:rPr>
              <w:t xml:space="preserve">разработаны с учетом строгих требований техники безопасности и прошли проверку на соответствие этим требованиям. Это включает проверку и утверждение агентствами по технике безопасности, а также соответствие установленным стандартам охраны окружающей среды.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Соблюдение вами перечисленных условий обеспечит длительную и безопасную работу принтера.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Инструкции по эксплуатации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блокируйте и не закрывайте щели и отверстия принтера. Без надлежащей вентиляции принтер может перегреться.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Используйте принтер на высоте, не превышающей 2438 м.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Размещайте принтер на ровной, прочной и не вибрирующей поверхности, которая может выдержать его вес. Он должен прочно стоять на поверхности, наклон принтера по горизонтали не должен превышать 2°.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Инструкции по безопасности при печати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допускайте попадания рук, волос, галстука и т. п. между выходными и подающими роликами.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Не снимайте лоток для бумаги, выбранный в драйвере или на панели управления.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открывайте дверцы во время печати.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Не перемещайте принтер во время печати.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pStyle w:val="623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Графический планшет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24" w:type="dxa"/>
            <w:vAlign w:val="center"/>
            <w:textDirection w:val="lrTb"/>
            <w:noWrap w:val="false"/>
          </w:tcPr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 время работы: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необходимо аккуратно обращаться с проводами;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работать с неисправным графическим планшетом;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нельзя заниматься очисткой графического планшета, когда он находится под напряжением;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недопустимо самостоятельно проводить ремонт оборудования при отсутствии специальных навыков;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располагать рядом с графическим планшетом жидкости, а также работать с мокрыми руками;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нельзя в процессе работы с графическим планшетом прикасаться к другим металлическим конструкциям (например, батареям);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допускать попадание влаги на поверхность графического планшета;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нельзя производить самостоятельно вскрытие и ремонт оборудования;</w:t>
            </w:r>
            <w:r/>
          </w:p>
          <w:p>
            <w:pPr>
              <w:pStyle w:val="623"/>
              <w:jc w:val="both"/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переключать разъемы интерфейсных кабелей периферийных устройств;</w:t>
            </w:r>
            <w:r/>
          </w:p>
          <w:p>
            <w:pPr>
              <w:pStyle w:val="623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запрещается загромождение верхних панелей устройств бумагами и посторонними предметами.</w:t>
            </w:r>
            <w:r/>
          </w:p>
        </w:tc>
      </w:tr>
    </w:tbl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3.2. При выполнении конкурсных заданий и уборке рабочих мест: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участников;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соблюдать настоящую инструкцию;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соблюдать правила эксплуатации оборудования, механизмов и инструментов, не подвергать их механическим ударам, не допускать падений;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поддерживать порядок и чистоту на рабочем месте;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рабочий инструмент располагать таким образом, чтобы исключалась возможность его скатывания и падения;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выполнять конкурсные задания только исправным инструментом;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727"/>
        <w:jc w:val="center"/>
        <w:spacing w:before="240" w:after="0" w:line="276" w:lineRule="auto"/>
      </w:pPr>
      <w:r/>
      <w:bookmarkStart w:id="4" w:name="__RefHeading___Toc126510489"/>
      <w:r/>
      <w:bookmarkEnd w:id="4"/>
      <w:r>
        <w:rPr>
          <w:rFonts w:ascii="Times New Roman" w:hAnsi="Times New Roman" w:cs="Times New Roman"/>
          <w:color w:val="000000"/>
          <w:sz w:val="28"/>
          <w:szCs w:val="28"/>
        </w:rPr>
        <w:t xml:space="preserve">4.Требования охраны труда в аварийных ситуациях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4.1. При обнаружении неисправности в работе электрических устройств, на</w:t>
      </w:r>
      <w:r>
        <w:rPr>
          <w:sz w:val="28"/>
          <w:szCs w:val="28"/>
        </w:rPr>
        <w:t xml:space="preserve">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4.2. В случае возникновения у участника плохого самочувствия или получения травмы сообщить об этом эксперту.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4.4. При несчастном случае или внезапном заболевании необходимо в первую очередь о</w:t>
      </w:r>
      <w:r>
        <w:rPr>
          <w:sz w:val="28"/>
          <w:szCs w:val="28"/>
        </w:rPr>
        <w:t xml:space="preserve">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</w:t>
      </w:r>
      <w:r>
        <w:rPr>
          <w:sz w:val="28"/>
          <w:szCs w:val="28"/>
        </w:rPr>
        <w:t xml:space="preserve">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5" w:name="__RefHeading___Toc126510490"/>
      <w:r/>
      <w:bookmarkEnd w:id="5"/>
      <w:r>
        <w:rPr>
          <w:rFonts w:ascii="Times New Roman" w:hAnsi="Times New Roman" w:cs="Times New Roman"/>
          <w:color w:val="000000"/>
          <w:sz w:val="28"/>
          <w:szCs w:val="28"/>
        </w:rPr>
        <w:t xml:space="preserve">5.Требование охраны труда по окончании работ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После окончания работ каждый участник обязан: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5.1. Привести в порядок рабочее место.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5.2. Убрать средства индивидуальной защиты в отведенное для хранений место.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5.3. Отключить инструмент и оборудование от сети.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5.4. Инструмент убрать в специально предназначенное для хранений место.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/>
    </w:p>
    <w:p>
      <w:pPr>
        <w:pStyle w:val="623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br w:type="page" w:clear="all"/>
      </w:r>
      <w:r/>
    </w:p>
    <w:p>
      <w:pPr>
        <w:pStyle w:val="624"/>
        <w:ind w:firstLine="709"/>
        <w:spacing w:before="120" w:after="120" w:line="240" w:lineRule="auto"/>
        <w:rPr>
          <w:rFonts w:ascii="Times New Roman" w:hAnsi="Times New Roman" w:cs="Times New Roman"/>
          <w:caps/>
          <w:color w:val="000000"/>
          <w:lang w:eastAsia="en-US"/>
        </w:rPr>
      </w:pPr>
      <w:r/>
      <w:bookmarkStart w:id="6" w:name="__RefHeading___Toc126510491"/>
      <w:r/>
      <w:bookmarkEnd w:id="6"/>
      <w:r>
        <w:rPr>
          <w:rFonts w:ascii="Times New Roman" w:hAnsi="Times New Roman" w:cs="Times New Roman"/>
          <w:caps/>
          <w:color w:val="000000"/>
          <w:lang w:eastAsia="en-US"/>
        </w:rPr>
        <w:t xml:space="preserve">Инструкция по охране труда для экспертов</w:t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7" w:name="__RefHeading___Toc126510492"/>
      <w:r/>
      <w:bookmarkEnd w:id="7"/>
      <w:r>
        <w:rPr>
          <w:rFonts w:ascii="Times New Roman" w:hAnsi="Times New Roman" w:cs="Times New Roman"/>
          <w:color w:val="000000"/>
          <w:sz w:val="28"/>
          <w:szCs w:val="28"/>
        </w:rPr>
        <w:t xml:space="preserve">1.Общие требования охраны труда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1.1. К работе в качестве эксперта Компетенции «Дизайн модной одежды и аксессуаров» допускаются Эксперты, прошедшие специальное обучение и не имеющие противопоказаний по состоянию здоровья.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1.3. В процессе контроля выполнения конкурсных заданий и нахождения на территории и в помещениях _____________________ Эксперт обязан четко соблюдать: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инструкции по охране труда и технике безопасности;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правила пожарной безопасности, знать места расположения первичных средств пожаротушения и планов эвакуации.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расписание и график проведения конкурсного задания, установленные режимы труда и отдыха.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—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электрический ток;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—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—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шум, обусловленный конструкцией оргтехники;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—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химические вещества, выделяющиеся при работе оргтехники;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—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зрительное перенапряжение при работе с ПК.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Физические: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-режущие и колющие предметы;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Химические: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Реакция на состав красителя маркеров, фломастеров и т.д.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Психологические: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-чрезмерное напряжение внимания, усиленная нагрузка на зрение</w:t>
      </w:r>
      <w:r/>
    </w:p>
    <w:p>
      <w:pPr>
        <w:pStyle w:val="725"/>
        <w:ind w:firstLine="709"/>
        <w:jc w:val="both"/>
        <w:spacing w:before="120" w:after="1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-ответственность при выполнении своих функций.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1.5. Применяемые во время выполнения конкурсного задания средства индивидуальной защиты:</w: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обувь на нескользкой подошве без каблука.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1.6. Знаки безопасности, используемые на рабочих местах участников, для обозначения присутствующих опасностей:</w: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  <w:u w:val="single"/>
        </w:rPr>
        <w:t xml:space="preserve"> F 04 Огнетушитель        </w:t>
      </w:r>
      <w:r>
        <w:rPr>
          <w:color w:val="000000"/>
          <w:sz w:val="28"/>
          <w:szCs w:val="28"/>
        </w:rPr>
        <w:t xml:space="preserve">                                          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1325" cy="441325"/>
                <wp:effectExtent l="0" t="0" r="0" b="0"/>
                <wp:docPr id="6" name="Image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6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41325" cy="441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34.8pt;height:34.8pt;mso-wrap-distance-left:0.0pt;mso-wrap-distance-top:0.0pt;mso-wrap-distance-right:0.0pt;mso-wrap-distance-bottom:0.0pt;" stroked="false">
                <v:path textboxrect="0,0,0,0"/>
                <v:imagedata r:id="rId16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 E 22 Указатель выхода</w:t>
      </w:r>
      <w:r>
        <w:rPr>
          <w:color w:val="000000"/>
          <w:sz w:val="28"/>
          <w:szCs w:val="28"/>
        </w:rPr>
        <w:t xml:space="preserve">                 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3430" cy="411480"/>
                <wp:effectExtent l="0" t="0" r="0" b="0"/>
                <wp:docPr id="7" name="Image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7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rcRect l="-15" t="-29" r="-15" b="-28"/>
                        <a:stretch/>
                      </pic:blipFill>
                      <pic:spPr bwMode="auto">
                        <a:xfrm>
                          <a:off x="0" y="0"/>
                          <a:ext cx="773430" cy="411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60.9pt;height:32.4pt;mso-wrap-distance-left:0.0pt;mso-wrap-distance-top:0.0pt;mso-wrap-distance-right:0.0pt;mso-wrap-distance-bottom:0.0pt;" stroked="false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E 23 Указатель запасного выхода</w:t>
      </w:r>
      <w:r>
        <w:rPr>
          <w:color w:val="000000"/>
          <w:sz w:val="28"/>
          <w:szCs w:val="28"/>
        </w:rPr>
        <w:t xml:space="preserve">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3275" cy="441325"/>
                <wp:effectExtent l="0" t="0" r="0" b="0"/>
                <wp:docPr id="8" name="Image8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8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rcRect l="-15" t="-28" r="-15" b="-28"/>
                        <a:stretch/>
                      </pic:blipFill>
                      <pic:spPr bwMode="auto">
                        <a:xfrm>
                          <a:off x="0" y="0"/>
                          <a:ext cx="803275" cy="441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63.2pt;height:34.8pt;mso-wrap-distance-left:0.0pt;mso-wrap-distance-top:0.0pt;mso-wrap-distance-right:0.0pt;mso-wrap-distance-bottom:0.0pt;" stroked="false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EC 01 Аптечка первой медицинской помощи      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805" cy="471805"/>
                <wp:effectExtent l="0" t="0" r="0" b="0"/>
                <wp:docPr id="9" name="Image9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9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71805" cy="471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width:37.1pt;height:37.1pt;mso-wrap-distance-left:0.0pt;mso-wrap-distance-top:0.0pt;mso-wrap-distance-right:0.0pt;mso-wrap-distance-bottom:0.0pt;" stroked="false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725"/>
        <w:ind w:firstLine="709"/>
        <w:jc w:val="both"/>
        <w:spacing w:before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u w:val="single"/>
        </w:rPr>
        <w:t xml:space="preserve">P 01 Запрещается курить</w:t>
      </w:r>
      <w:r>
        <w:rPr>
          <w:color w:val="000000"/>
          <w:sz w:val="28"/>
          <w:szCs w:val="28"/>
        </w:rPr>
        <w:t xml:space="preserve">                                         </w:t>
      </w:r>
      <w:r>
        <w:rPr>
          <w:color w:val="000000"/>
          <w:sz w:val="28"/>
          <w:szCs w:val="28"/>
          <w:lang w:val="en-US" w:eastAsia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487680"/>
                <wp:effectExtent l="0" t="0" r="0" b="0"/>
                <wp:docPr id="10" name="Image10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10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rcRect l="-15" t="-15" r="-15" b="-15"/>
                        <a:stretch/>
                      </pic:blipFill>
                      <pic:spPr bwMode="auto">
                        <a:xfrm>
                          <a:off x="0" y="0"/>
                          <a:ext cx="487680" cy="487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width:38.4pt;height:38.4pt;mso-wrap-distance-left:0.0pt;mso-wrap-distance-top:0.0pt;mso-wrap-distance-right:0.0pt;mso-wrap-distance-bottom:0.0pt;" stroked="false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623"/>
        <w:ind w:firstLine="709"/>
        <w:jc w:val="both"/>
        <w:spacing w:before="120" w:after="120"/>
      </w:pP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помещении Экспертов Компетенции «Дизайн модной одежды и аксессуаров»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нормативной документации чемпионата, а при необходимости согласно действующему законодательству.</w:t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8" w:name="__RefHeading___Toc126510493"/>
      <w:r/>
      <w:bookmarkEnd w:id="8"/>
      <w:r>
        <w:rPr>
          <w:rFonts w:ascii="Times New Roman" w:hAnsi="Times New Roman" w:cs="Times New Roman"/>
          <w:color w:val="000000"/>
          <w:sz w:val="28"/>
          <w:szCs w:val="28"/>
        </w:rPr>
        <w:t xml:space="preserve">2.Требования охраны труда перед началом работы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Перед началом работы Эксперты должны выполнить следующее: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2.1. В подготовительный день,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</w:t>
      </w:r>
      <w:r>
        <w:rPr>
          <w:sz w:val="28"/>
          <w:szCs w:val="28"/>
        </w:rPr>
        <w:t xml:space="preserve">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2.2. Ежедневно, перед началом выполнения конкурсного з</w:t>
      </w:r>
      <w:r>
        <w:rPr>
          <w:sz w:val="28"/>
          <w:szCs w:val="28"/>
        </w:rPr>
        <w:t xml:space="preserve">адания участниками конкурса, Эксперт, ответственный за охрану труда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2.3. Ежедневно, перед началом работ на конкурсной площадке и в помещении экспертов необходимо:</w:t>
      </w:r>
      <w:r/>
    </w:p>
    <w:p>
      <w:pPr>
        <w:pStyle w:val="623"/>
        <w:ind w:firstLine="709"/>
        <w:spacing w:before="120" w:after="120"/>
        <w:tabs>
          <w:tab w:val="clear" w:pos="708" w:leader="none"/>
          <w:tab w:val="left" w:pos="709" w:leader="none"/>
        </w:tabs>
      </w:pPr>
      <w:r>
        <w:rPr>
          <w:sz w:val="28"/>
          <w:szCs w:val="28"/>
        </w:rPr>
        <w:t xml:space="preserve">- осмотреть рабочие места экспертов и участников;</w:t>
      </w:r>
      <w:r/>
    </w:p>
    <w:p>
      <w:pPr>
        <w:pStyle w:val="623"/>
        <w:ind w:firstLine="709"/>
        <w:spacing w:before="120" w:after="120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-привести в порядок рабочее место эксперта;</w:t>
      </w:r>
      <w:r/>
    </w:p>
    <w:p>
      <w:pPr>
        <w:pStyle w:val="623"/>
        <w:ind w:firstLine="709"/>
        <w:spacing w:before="120" w:after="120"/>
        <w:tabs>
          <w:tab w:val="clear" w:pos="708" w:leader="none"/>
          <w:tab w:val="left" w:pos="709" w:leader="none"/>
        </w:tabs>
      </w:pPr>
      <w:r>
        <w:rPr>
          <w:sz w:val="28"/>
          <w:szCs w:val="28"/>
        </w:rPr>
        <w:t xml:space="preserve">-проверить правильность подключения оборудования в электросеть;</w:t>
      </w:r>
      <w:r/>
    </w:p>
    <w:p>
      <w:pPr>
        <w:pStyle w:val="623"/>
        <w:ind w:firstLine="709"/>
        <w:spacing w:before="120" w:after="120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одеть необходимые средства индивидуальной защиты;</w:t>
      </w:r>
      <w:r/>
    </w:p>
    <w:p>
      <w:pPr>
        <w:pStyle w:val="623"/>
        <w:ind w:firstLine="709"/>
        <w:spacing w:before="120" w:after="120"/>
        <w:tabs>
          <w:tab w:val="clear" w:pos="708" w:leader="none"/>
          <w:tab w:val="left" w:pos="709" w:leader="none"/>
        </w:tabs>
      </w:pPr>
      <w:r>
        <w:rPr>
          <w:sz w:val="28"/>
          <w:szCs w:val="28"/>
        </w:rPr>
        <w:t xml:space="preserve"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2.5. Подготовить необходимые для работы материалы, приспособления, и разложить их на свои места, убрать с рабочего стола все лишнее.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r/>
    </w:p>
    <w:p>
      <w:pPr>
        <w:pStyle w:val="727"/>
        <w:jc w:val="center"/>
        <w:spacing w:before="240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/>
      <w:bookmarkStart w:id="9" w:name="__RefHeading___Toc126510494"/>
      <w:r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 xml:space="preserve">3.Требования охраны труда во время работы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3.4. Во избежание поражения током запрещается: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прикасаться к задней панели персонального компьютера и другой оргтехники, монитора при включенном питании;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допускать попадания влаги на поверхность монитора, рабочую поверхность клавиатуры, дисководов, принтеров и других устройств;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производить самостоятельно вскрытие и ремонт оборудования;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переключать разъемы интерфейсных кабелей периферийных устройств при включенном питании;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загромождать верхние панели устройств бумагами и посторонними предметами;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3.6. Эксперту во время работы с оргтехникой: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обращать внимание на символы, высвечивающиеся на панели оборудования, не игнорировать их;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не производить включение/выключение аппаратов мокрыми руками;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не ставить на устройство емкости с водой, не класть металлические предметы;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не эксплуатировать аппарат, если он перегрелся, стал дымиться, появился посторонний запах или звук;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не эксплуатировать аппарат, если его уронили или корпус был поврежден;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вынимать застрявшие листы можно только после отключения устройства из сети;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-запрещается перемещать аппараты включенными в сеть;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все работы по замене картриджей, бумаги можно производить только после отключения аппарата от сети;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запрещается опираться на стекло оригиналодержателя, класть на него какие-либо вещи помимо оригинала;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запрещается работать на аппарате с треснувшим стеклом;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- обязательно мыть руки теплой водой с мылом после каждой чистки картриджей, узлов и т.д.;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просыпанный тонер, носитель немедленно собрать пылесосом или влажной ветошью.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3.8. Запрещается: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устанавливать неизвестные системы паролирования и самостоятельно проводить переформатирование диска;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иметь при себе любые средства связи;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пользоваться любой документацией кроме предусмотренной конкурсным заданием.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3.10. При наблюдении за выполнением конкурсного задания участниками Эксперту: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одеть необходимые средства индивидуальной защиты;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- передвигаться по конкурсной площадке не спеша, не делая резких движений, смотря под ноги.</w:t>
      </w:r>
      <w:r/>
    </w:p>
    <w:p>
      <w:pPr>
        <w:pStyle w:val="727"/>
        <w:jc w:val="center"/>
        <w:spacing w:before="240" w:after="0" w:line="276" w:lineRule="auto"/>
      </w:pPr>
      <w:r/>
      <w:bookmarkStart w:id="10" w:name="__RefHeading___Toc126510495"/>
      <w:r/>
      <w:bookmarkEnd w:id="10"/>
      <w:r>
        <w:rPr>
          <w:rFonts w:ascii="Times New Roman" w:hAnsi="Times New Roman" w:cs="Times New Roman"/>
          <w:color w:val="000000"/>
          <w:sz w:val="28"/>
          <w:szCs w:val="28"/>
        </w:rPr>
        <w:t xml:space="preserve">4.Требования охраны труда в аварийных ситуациях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</w:t>
      </w:r>
      <w:r>
        <w:rPr>
          <w:sz w:val="28"/>
          <w:szCs w:val="28"/>
        </w:rPr>
        <w:t xml:space="preserve">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4.2. В случае возникновения зрительного дискомфорта и других неблагоприятных субъективных ощуще</w:t>
      </w:r>
      <w:r>
        <w:rPr>
          <w:sz w:val="28"/>
          <w:szCs w:val="28"/>
        </w:rPr>
        <w:t xml:space="preserve">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</w:t>
      </w:r>
      <w:r>
        <w:rPr>
          <w:sz w:val="28"/>
          <w:szCs w:val="28"/>
        </w:rPr>
        <w:t xml:space="preserve">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727"/>
        <w:jc w:val="center"/>
        <w:spacing w:before="240" w:after="0" w:line="276" w:lineRule="auto"/>
      </w:pPr>
      <w:r/>
      <w:bookmarkStart w:id="11" w:name="__RefHeading___Toc126510496"/>
      <w:r/>
      <w:bookmarkEnd w:id="11"/>
      <w:r>
        <w:rPr>
          <w:rFonts w:ascii="Times New Roman" w:hAnsi="Times New Roman" w:cs="Times New Roman"/>
          <w:color w:val="000000"/>
          <w:sz w:val="28"/>
          <w:szCs w:val="28"/>
        </w:rPr>
        <w:t xml:space="preserve">5.Требование охраны труда по окончании работ</w:t>
      </w:r>
      <w:r/>
    </w:p>
    <w:p>
      <w:pPr>
        <w:pStyle w:val="623"/>
        <w:ind w:firstLine="709"/>
        <w:jc w:val="both"/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После окончания конкурсного дня Эксперт обязан: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5.1. Отключить электрические приборы, оборудование, инструмент и устройства от источника питания.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  <w:r/>
    </w:p>
    <w:p>
      <w:pPr>
        <w:pStyle w:val="623"/>
        <w:ind w:firstLine="709"/>
        <w:jc w:val="both"/>
        <w:spacing w:before="120" w:after="120"/>
      </w:pPr>
      <w:r>
        <w:rPr>
          <w:sz w:val="28"/>
          <w:szCs w:val="28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r/>
    </w:p>
    <w:p>
      <w:pPr>
        <w:pStyle w:val="623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erReference w:type="default" r:id="rId9"/>
      <w:footerReference w:type="first" r:id="rId10"/>
      <w:footnotePr/>
      <w:endnotePr/>
      <w:type w:val="nextPage"/>
      <w:pgSz w:w="11906" w:h="16838" w:orient="portrait"/>
      <w:pgMar w:top="851" w:right="567" w:bottom="851" w:left="1418" w:header="0" w:footer="708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506030602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mbria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19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62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6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0"/>
    <w:link w:val="624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0"/>
    <w:link w:val="625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23"/>
    <w:next w:val="623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23"/>
    <w:next w:val="623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23"/>
    <w:next w:val="623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23"/>
    <w:next w:val="623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23"/>
    <w:next w:val="623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23"/>
    <w:next w:val="623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23"/>
    <w:next w:val="623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23"/>
    <w:next w:val="623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23"/>
    <w:next w:val="623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23"/>
    <w:next w:val="623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23"/>
    <w:next w:val="623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10"/>
    <w:link w:val="719"/>
    <w:uiPriority w:val="99"/>
  </w:style>
  <w:style w:type="character" w:styleId="44">
    <w:name w:val="Footer Char"/>
    <w:basedOn w:val="10"/>
    <w:link w:val="720"/>
    <w:uiPriority w:val="99"/>
  </w:style>
  <w:style w:type="character" w:styleId="46">
    <w:name w:val="Caption Char"/>
    <w:basedOn w:val="713"/>
    <w:link w:val="720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23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23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2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pPr>
      <w:widowControl/>
    </w:pPr>
    <w:rPr>
      <w:rFonts w:ascii="Times New Roman" w:hAnsi="Times New Roman" w:eastAsia="Calibri" w:cs="Times New Roman"/>
      <w:color w:val="auto"/>
      <w:sz w:val="24"/>
      <w:szCs w:val="24"/>
      <w:lang w:val="ru-RU" w:eastAsia="zh-CN" w:bidi="ar-SA"/>
    </w:rPr>
  </w:style>
  <w:style w:type="paragraph" w:styleId="624">
    <w:name w:val="Heading 1"/>
    <w:basedOn w:val="623"/>
    <w:next w:val="623"/>
    <w:qFormat/>
    <w:pPr>
      <w:numPr>
        <w:ilvl w:val="0"/>
        <w:numId w:val="1"/>
      </w:numPr>
      <w:keepLines/>
      <w:keepNext/>
      <w:spacing w:before="480" w:after="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625">
    <w:name w:val="Heading 2"/>
    <w:basedOn w:val="623"/>
    <w:next w:val="623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eastAsia="Times New Roman" w:cs="Cambria"/>
      <w:b/>
      <w:bCs/>
      <w:i/>
      <w:iCs/>
      <w:sz w:val="28"/>
      <w:szCs w:val="28"/>
      <w:lang w:val="en-US"/>
    </w:rPr>
  </w:style>
  <w:style w:type="character" w:styleId="626">
    <w:name w:val="WW8Num1z0"/>
    <w:qFormat/>
    <w:rPr>
      <w:rFonts w:cs="Times New Roman"/>
      <w:color w:val="000000"/>
    </w:rPr>
  </w:style>
  <w:style w:type="character" w:styleId="627">
    <w:name w:val="WW8Num1z1"/>
    <w:qFormat/>
    <w:rPr>
      <w:rFonts w:ascii="Times New Roman" w:hAnsi="Times New Roman" w:cs="Times New Roman"/>
      <w:color w:val="000000"/>
    </w:rPr>
  </w:style>
  <w:style w:type="character" w:styleId="628">
    <w:name w:val="WW8Num2z0"/>
    <w:qFormat/>
  </w:style>
  <w:style w:type="character" w:styleId="629">
    <w:name w:val="WW8Num2z1"/>
    <w:qFormat/>
  </w:style>
  <w:style w:type="character" w:styleId="630">
    <w:name w:val="WW8Num2z2"/>
    <w:qFormat/>
  </w:style>
  <w:style w:type="character" w:styleId="631">
    <w:name w:val="WW8Num2z3"/>
    <w:qFormat/>
  </w:style>
  <w:style w:type="character" w:styleId="632">
    <w:name w:val="WW8Num2z4"/>
    <w:qFormat/>
  </w:style>
  <w:style w:type="character" w:styleId="633">
    <w:name w:val="WW8Num2z5"/>
    <w:qFormat/>
  </w:style>
  <w:style w:type="character" w:styleId="634">
    <w:name w:val="WW8Num2z6"/>
    <w:qFormat/>
  </w:style>
  <w:style w:type="character" w:styleId="635">
    <w:name w:val="WW8Num2z7"/>
    <w:qFormat/>
  </w:style>
  <w:style w:type="character" w:styleId="636">
    <w:name w:val="WW8Num2z8"/>
    <w:qFormat/>
  </w:style>
  <w:style w:type="character" w:styleId="637">
    <w:name w:val="WW8Num3z0"/>
    <w:qFormat/>
    <w:rPr>
      <w:rFonts w:ascii="Arial" w:hAnsi="Arial" w:cs="Arial"/>
    </w:rPr>
  </w:style>
  <w:style w:type="character" w:styleId="638">
    <w:name w:val="WW8Num4z0"/>
    <w:qFormat/>
    <w:rPr>
      <w:rFonts w:ascii="Arial" w:hAnsi="Arial" w:cs="Arial"/>
    </w:rPr>
  </w:style>
  <w:style w:type="character" w:styleId="639">
    <w:name w:val="WW8Num5z0"/>
    <w:qFormat/>
    <w:rPr>
      <w:rFonts w:ascii="Times New Roman" w:hAnsi="Times New Roman" w:cs="Times New Roman"/>
    </w:rPr>
  </w:style>
  <w:style w:type="character" w:styleId="640">
    <w:name w:val="WW8Num5z1"/>
    <w:qFormat/>
    <w:rPr>
      <w:rFonts w:ascii="Courier New" w:hAnsi="Courier New" w:cs="Courier New"/>
    </w:rPr>
  </w:style>
  <w:style w:type="character" w:styleId="641">
    <w:name w:val="WW8Num5z2"/>
    <w:qFormat/>
    <w:rPr>
      <w:rFonts w:ascii="Wingdings" w:hAnsi="Wingdings" w:cs="Wingdings"/>
    </w:rPr>
  </w:style>
  <w:style w:type="character" w:styleId="642">
    <w:name w:val="WW8Num5z3"/>
    <w:qFormat/>
    <w:rPr>
      <w:rFonts w:ascii="Symbol" w:hAnsi="Symbol" w:cs="Symbol"/>
    </w:rPr>
  </w:style>
  <w:style w:type="character" w:styleId="643">
    <w:name w:val="WW8Num6z0"/>
    <w:qFormat/>
    <w:rPr>
      <w:rFonts w:cs="Times New Roman"/>
      <w:color w:val="000000"/>
    </w:rPr>
  </w:style>
  <w:style w:type="character" w:styleId="644">
    <w:name w:val="WW8Num7z0"/>
    <w:qFormat/>
    <w:rPr>
      <w:rFonts w:cs="Times New Roman"/>
      <w:color w:val="000000"/>
    </w:rPr>
  </w:style>
  <w:style w:type="character" w:styleId="645">
    <w:name w:val="WW8Num8z0"/>
    <w:qFormat/>
    <w:rPr>
      <w:rFonts w:cs="Times New Roman"/>
      <w:color w:val="000000"/>
    </w:rPr>
  </w:style>
  <w:style w:type="character" w:styleId="646">
    <w:name w:val="WW8Num8z1"/>
    <w:qFormat/>
    <w:rPr>
      <w:rFonts w:ascii="Symbol" w:hAnsi="Symbol" w:cs="Symbol"/>
      <w:color w:val="000000"/>
    </w:rPr>
  </w:style>
  <w:style w:type="character" w:styleId="647">
    <w:name w:val="WW8Num9z0"/>
    <w:qFormat/>
  </w:style>
  <w:style w:type="character" w:styleId="648">
    <w:name w:val="WW8Num9z1"/>
    <w:qFormat/>
  </w:style>
  <w:style w:type="character" w:styleId="649">
    <w:name w:val="WW8Num9z2"/>
    <w:qFormat/>
  </w:style>
  <w:style w:type="character" w:styleId="650">
    <w:name w:val="WW8Num9z3"/>
    <w:qFormat/>
  </w:style>
  <w:style w:type="character" w:styleId="651">
    <w:name w:val="WW8Num9z4"/>
    <w:qFormat/>
  </w:style>
  <w:style w:type="character" w:styleId="652">
    <w:name w:val="WW8Num9z5"/>
    <w:qFormat/>
  </w:style>
  <w:style w:type="character" w:styleId="653">
    <w:name w:val="WW8Num9z6"/>
    <w:qFormat/>
  </w:style>
  <w:style w:type="character" w:styleId="654">
    <w:name w:val="WW8Num9z7"/>
    <w:qFormat/>
  </w:style>
  <w:style w:type="character" w:styleId="655">
    <w:name w:val="WW8Num9z8"/>
    <w:qFormat/>
  </w:style>
  <w:style w:type="character" w:styleId="656">
    <w:name w:val="WW8Num10z0"/>
    <w:qFormat/>
  </w:style>
  <w:style w:type="character" w:styleId="657">
    <w:name w:val="WW8Num10z1"/>
    <w:qFormat/>
  </w:style>
  <w:style w:type="character" w:styleId="658">
    <w:name w:val="WW8Num10z2"/>
    <w:qFormat/>
  </w:style>
  <w:style w:type="character" w:styleId="659">
    <w:name w:val="WW8Num10z3"/>
    <w:qFormat/>
  </w:style>
  <w:style w:type="character" w:styleId="660">
    <w:name w:val="WW8Num10z4"/>
    <w:qFormat/>
  </w:style>
  <w:style w:type="character" w:styleId="661">
    <w:name w:val="WW8Num10z5"/>
    <w:qFormat/>
  </w:style>
  <w:style w:type="character" w:styleId="662">
    <w:name w:val="WW8Num10z6"/>
    <w:qFormat/>
  </w:style>
  <w:style w:type="character" w:styleId="663">
    <w:name w:val="WW8Num10z7"/>
    <w:qFormat/>
  </w:style>
  <w:style w:type="character" w:styleId="664">
    <w:name w:val="WW8Num10z8"/>
    <w:qFormat/>
  </w:style>
  <w:style w:type="character" w:styleId="665">
    <w:name w:val="WW8Num11z0"/>
    <w:qFormat/>
  </w:style>
  <w:style w:type="character" w:styleId="666">
    <w:name w:val="WW8Num11z1"/>
    <w:qFormat/>
  </w:style>
  <w:style w:type="character" w:styleId="667">
    <w:name w:val="WW8Num11z2"/>
    <w:qFormat/>
  </w:style>
  <w:style w:type="character" w:styleId="668">
    <w:name w:val="WW8Num11z3"/>
    <w:qFormat/>
  </w:style>
  <w:style w:type="character" w:styleId="669">
    <w:name w:val="WW8Num11z4"/>
    <w:qFormat/>
  </w:style>
  <w:style w:type="character" w:styleId="670">
    <w:name w:val="WW8Num11z5"/>
    <w:qFormat/>
  </w:style>
  <w:style w:type="character" w:styleId="671">
    <w:name w:val="WW8Num11z6"/>
    <w:qFormat/>
  </w:style>
  <w:style w:type="character" w:styleId="672">
    <w:name w:val="WW8Num11z7"/>
    <w:qFormat/>
  </w:style>
  <w:style w:type="character" w:styleId="673">
    <w:name w:val="WW8Num11z8"/>
    <w:qFormat/>
  </w:style>
  <w:style w:type="character" w:styleId="674">
    <w:name w:val="WW8Num12z0"/>
    <w:qFormat/>
    <w:rPr>
      <w:rFonts w:cs="Times New Roman"/>
      <w:color w:val="000000"/>
    </w:rPr>
  </w:style>
  <w:style w:type="character" w:styleId="675">
    <w:name w:val="WW8Num13z0"/>
    <w:qFormat/>
    <w:rPr>
      <w:rFonts w:cs="Times New Roman"/>
      <w:color w:val="000000"/>
    </w:rPr>
  </w:style>
  <w:style w:type="character" w:styleId="676">
    <w:name w:val="WW8Num13z1"/>
    <w:qFormat/>
    <w:rPr>
      <w:rFonts w:ascii="Symbol" w:hAnsi="Symbol" w:cs="Symbol"/>
      <w:color w:val="000000"/>
    </w:rPr>
  </w:style>
  <w:style w:type="character" w:styleId="677">
    <w:name w:val="WW8Num14z0"/>
    <w:qFormat/>
    <w:rPr>
      <w:rFonts w:ascii="Symbol" w:hAnsi="Symbol" w:cs="Symbol"/>
    </w:rPr>
  </w:style>
  <w:style w:type="character" w:styleId="678">
    <w:name w:val="WW8Num14z1"/>
    <w:qFormat/>
    <w:rPr>
      <w:rFonts w:ascii="Courier New" w:hAnsi="Courier New" w:cs="Courier New"/>
    </w:rPr>
  </w:style>
  <w:style w:type="character" w:styleId="679">
    <w:name w:val="WW8Num14z2"/>
    <w:qFormat/>
    <w:rPr>
      <w:rFonts w:ascii="Wingdings" w:hAnsi="Wingdings" w:cs="Wingdings"/>
    </w:rPr>
  </w:style>
  <w:style w:type="character" w:styleId="680">
    <w:name w:val="WW8Num15z0"/>
    <w:qFormat/>
    <w:rPr>
      <w:rFonts w:cs="Times New Roman"/>
      <w:color w:val="000000"/>
    </w:rPr>
  </w:style>
  <w:style w:type="character" w:styleId="681">
    <w:name w:val="WW8Num15z1"/>
    <w:qFormat/>
    <w:rPr>
      <w:rFonts w:ascii="Symbol" w:hAnsi="Symbol" w:cs="Symbol"/>
      <w:color w:val="000000"/>
    </w:rPr>
  </w:style>
  <w:style w:type="character" w:styleId="682">
    <w:name w:val="WW8Num16z0"/>
    <w:qFormat/>
    <w:rPr>
      <w:rFonts w:cs="Times New Roman"/>
    </w:rPr>
  </w:style>
  <w:style w:type="character" w:styleId="683">
    <w:name w:val="WW8Num17z0"/>
    <w:qFormat/>
    <w:rPr>
      <w:rFonts w:ascii="Times New Roman" w:hAnsi="Times New Roman" w:cs="Times New Roman"/>
    </w:rPr>
  </w:style>
  <w:style w:type="character" w:styleId="684">
    <w:name w:val="WW8Num17z1"/>
    <w:qFormat/>
    <w:rPr>
      <w:rFonts w:ascii="Courier New" w:hAnsi="Courier New" w:cs="Courier New"/>
    </w:rPr>
  </w:style>
  <w:style w:type="character" w:styleId="685">
    <w:name w:val="WW8Num17z2"/>
    <w:qFormat/>
    <w:rPr>
      <w:rFonts w:ascii="Wingdings" w:hAnsi="Wingdings" w:cs="Wingdings"/>
    </w:rPr>
  </w:style>
  <w:style w:type="character" w:styleId="686">
    <w:name w:val="WW8Num17z3"/>
    <w:qFormat/>
    <w:rPr>
      <w:rFonts w:ascii="Symbol" w:hAnsi="Symbol" w:cs="Symbol"/>
    </w:rPr>
  </w:style>
  <w:style w:type="character" w:styleId="687">
    <w:name w:val="WW8Num18z0"/>
    <w:qFormat/>
    <w:rPr>
      <w:rFonts w:cs="Times New Roman"/>
    </w:rPr>
  </w:style>
  <w:style w:type="character" w:styleId="688">
    <w:name w:val="WW8Num19z0"/>
    <w:qFormat/>
    <w:rPr>
      <w:rFonts w:cs="Times New Roman"/>
      <w:color w:val="000000"/>
    </w:rPr>
  </w:style>
  <w:style w:type="character" w:styleId="689">
    <w:name w:val="WW8Num20z0"/>
    <w:qFormat/>
    <w:rPr>
      <w:rFonts w:ascii="Symbol" w:hAnsi="Symbol" w:cs="Symbol"/>
    </w:rPr>
  </w:style>
  <w:style w:type="character" w:styleId="690">
    <w:name w:val="WW8Num20z1"/>
    <w:qFormat/>
    <w:rPr>
      <w:rFonts w:ascii="Courier New" w:hAnsi="Courier New" w:cs="Courier New"/>
    </w:rPr>
  </w:style>
  <w:style w:type="character" w:styleId="691">
    <w:name w:val="WW8Num20z2"/>
    <w:qFormat/>
    <w:rPr>
      <w:rFonts w:ascii="Wingdings" w:hAnsi="Wingdings" w:cs="Wingdings"/>
    </w:rPr>
  </w:style>
  <w:style w:type="character" w:styleId="692">
    <w:name w:val="WW8Num21z0"/>
    <w:qFormat/>
    <w:rPr>
      <w:rFonts w:ascii="Times New Roman" w:hAnsi="Times New Roman" w:cs="Times New Roman"/>
      <w:color w:val="000000"/>
      <w:spacing w:val="0"/>
      <w:position w:val="0"/>
      <w:sz w:val="24"/>
      <w:szCs w:val="24"/>
      <w:u w:val="none"/>
      <w:vertAlign w:val="baseline"/>
    </w:rPr>
  </w:style>
  <w:style w:type="character" w:styleId="693">
    <w:name w:val="WW8Num21z1"/>
    <w:qFormat/>
    <w:rPr>
      <w:rFonts w:ascii="Courier New" w:hAnsi="Courier New" w:cs="Courier New"/>
    </w:rPr>
  </w:style>
  <w:style w:type="character" w:styleId="694">
    <w:name w:val="WW8Num21z2"/>
    <w:qFormat/>
    <w:rPr>
      <w:rFonts w:ascii="Wingdings" w:hAnsi="Wingdings" w:cs="Wingdings"/>
    </w:rPr>
  </w:style>
  <w:style w:type="character" w:styleId="695">
    <w:name w:val="WW8Num21z3"/>
    <w:qFormat/>
    <w:rPr>
      <w:rFonts w:ascii="Symbol" w:hAnsi="Symbol" w:cs="Symbol"/>
    </w:rPr>
  </w:style>
  <w:style w:type="character" w:styleId="696">
    <w:name w:val="WW8Num22z0"/>
    <w:qFormat/>
    <w:rPr>
      <w:rFonts w:ascii="Times New Roman" w:hAnsi="Times New Roman" w:cs="Times New Roman"/>
    </w:rPr>
  </w:style>
  <w:style w:type="character" w:styleId="697">
    <w:name w:val="WW8Num22z1"/>
    <w:qFormat/>
    <w:rPr>
      <w:rFonts w:ascii="Courier New" w:hAnsi="Courier New" w:cs="Courier New"/>
    </w:rPr>
  </w:style>
  <w:style w:type="character" w:styleId="698">
    <w:name w:val="WW8Num22z2"/>
    <w:qFormat/>
    <w:rPr>
      <w:rFonts w:ascii="Wingdings" w:hAnsi="Wingdings" w:cs="Wingdings"/>
    </w:rPr>
  </w:style>
  <w:style w:type="character" w:styleId="699">
    <w:name w:val="WW8Num22z3"/>
    <w:qFormat/>
    <w:rPr>
      <w:rFonts w:ascii="Symbol" w:hAnsi="Symbol" w:cs="Symbol"/>
    </w:rPr>
  </w:style>
  <w:style w:type="character" w:styleId="700">
    <w:name w:val="Основной шрифт абзаца"/>
    <w:qFormat/>
  </w:style>
  <w:style w:type="character" w:styleId="701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styleId="702">
    <w:name w:val="apple-converted-space"/>
    <w:basedOn w:val="700"/>
    <w:qFormat/>
  </w:style>
  <w:style w:type="character" w:styleId="703">
    <w:name w:val="Верх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styleId="704">
    <w:name w:val="Нижний колонтитул Знак"/>
    <w:qFormat/>
    <w:rPr>
      <w:rFonts w:ascii="Calibri" w:hAnsi="Calibri" w:cs="Calibri"/>
      <w:sz w:val="22"/>
      <w:szCs w:val="22"/>
      <w:lang w:val="ru-RU" w:bidi="ar-SA"/>
    </w:rPr>
  </w:style>
  <w:style w:type="character" w:styleId="705">
    <w:name w:val="Заголовок 1 Знак"/>
    <w:qFormat/>
    <w:rPr>
      <w:rFonts w:ascii="Cambria" w:hAnsi="Cambria" w:cs="Cambria"/>
      <w:b/>
      <w:bCs/>
      <w:color w:val="365f91"/>
      <w:sz w:val="28"/>
      <w:szCs w:val="28"/>
      <w:lang w:val="ru-RU" w:bidi="ar-SA"/>
    </w:rPr>
  </w:style>
  <w:style w:type="character" w:styleId="706">
    <w:name w:val="Hyperlink"/>
    <w:rPr>
      <w:color w:val="0000ff"/>
      <w:u w:val="single"/>
    </w:rPr>
  </w:style>
  <w:style w:type="character" w:styleId="707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08">
    <w:name w:val="!Заголовок-1 Знак"/>
    <w:qFormat/>
    <w:rPr>
      <w:rFonts w:ascii="Arial" w:hAnsi="Arial" w:eastAsia="Times New Roman" w:cs="Arial"/>
      <w:b/>
      <w:bCs/>
      <w:caps/>
      <w:color w:val="2c8de6"/>
      <w:sz w:val="36"/>
      <w:szCs w:val="24"/>
    </w:rPr>
  </w:style>
  <w:style w:type="character" w:styleId="709">
    <w:name w:val="Index Link"/>
    <w:qFormat/>
  </w:style>
  <w:style w:type="paragraph" w:styleId="710">
    <w:name w:val="Heading"/>
    <w:basedOn w:val="623"/>
    <w:next w:val="711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711">
    <w:name w:val="Body Text"/>
    <w:basedOn w:val="623"/>
    <w:pPr>
      <w:spacing w:before="0" w:after="140" w:line="276" w:lineRule="auto"/>
    </w:pPr>
  </w:style>
  <w:style w:type="paragraph" w:styleId="712">
    <w:name w:val="List"/>
    <w:basedOn w:val="711"/>
  </w:style>
  <w:style w:type="paragraph" w:styleId="713">
    <w:name w:val="Caption"/>
    <w:basedOn w:val="623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14">
    <w:name w:val="Index"/>
    <w:basedOn w:val="623"/>
    <w:qFormat/>
    <w:pPr>
      <w:suppressLineNumbers/>
    </w:pPr>
  </w:style>
  <w:style w:type="paragraph" w:styleId="715">
    <w:name w:val="List Paragraph"/>
    <w:basedOn w:val="623"/>
    <w:qFormat/>
    <w:pPr>
      <w:ind w:left="720" w:firstLine="0"/>
    </w:pPr>
  </w:style>
  <w:style w:type="paragraph" w:styleId="716">
    <w:name w:val="Текст выноски"/>
    <w:basedOn w:val="623"/>
    <w:qFormat/>
    <w:rPr>
      <w:rFonts w:ascii="Tahoma" w:hAnsi="Tahoma" w:cs="Tahoma"/>
      <w:sz w:val="16"/>
      <w:szCs w:val="16"/>
      <w:lang w:val="en-US"/>
    </w:rPr>
  </w:style>
  <w:style w:type="paragraph" w:styleId="717">
    <w:name w:val="otekstj"/>
    <w:basedOn w:val="623"/>
    <w:qFormat/>
    <w:pPr>
      <w:spacing w:before="280" w:after="280"/>
    </w:pPr>
    <w:rPr>
      <w:rFonts w:eastAsia="Times New Roman"/>
    </w:rPr>
  </w:style>
  <w:style w:type="paragraph" w:styleId="718">
    <w:name w:val="Header and Footer"/>
    <w:basedOn w:val="623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719">
    <w:name w:val="Header"/>
    <w:basedOn w:val="623"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cs="Calibri"/>
      <w:sz w:val="22"/>
      <w:szCs w:val="22"/>
    </w:rPr>
  </w:style>
  <w:style w:type="paragraph" w:styleId="720">
    <w:name w:val="Footer"/>
    <w:basedOn w:val="623"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cs="Calibri"/>
      <w:sz w:val="22"/>
      <w:szCs w:val="22"/>
    </w:rPr>
  </w:style>
  <w:style w:type="paragraph" w:styleId="721">
    <w:name w:val="Без интервала"/>
    <w:qFormat/>
    <w:pPr>
      <w:widowControl/>
    </w:pPr>
    <w:rPr>
      <w:rFonts w:ascii="Times New Roman" w:hAnsi="Times New Roman" w:eastAsia="Calibri" w:cs="Times New Roman"/>
      <w:color w:val="auto"/>
      <w:sz w:val="24"/>
      <w:szCs w:val="24"/>
      <w:lang w:val="ru-RU" w:eastAsia="zh-CN" w:bidi="ar-SA"/>
    </w:rPr>
  </w:style>
  <w:style w:type="paragraph" w:styleId="722">
    <w:name w:val="Заголовок оглавления"/>
    <w:basedOn w:val="624"/>
    <w:next w:val="623"/>
    <w:qFormat/>
    <w:pPr>
      <w:numPr>
        <w:ilvl w:val="0"/>
        <w:numId w:val="0"/>
      </w:numPr>
    </w:pPr>
    <w:rPr>
      <w:rFonts w:ascii="Cambria" w:hAnsi="Cambria" w:eastAsia="Times New Roman" w:cs="Times New Roman"/>
      <w:color w:val="365f91"/>
    </w:rPr>
  </w:style>
  <w:style w:type="paragraph" w:styleId="723">
    <w:name w:val="toc 1"/>
    <w:basedOn w:val="623"/>
    <w:next w:val="623"/>
  </w:style>
  <w:style w:type="paragraph" w:styleId="724">
    <w:name w:val="toc 2"/>
    <w:basedOn w:val="623"/>
    <w:next w:val="623"/>
    <w:pPr>
      <w:ind w:left="240" w:firstLine="0"/>
    </w:pPr>
  </w:style>
  <w:style w:type="paragraph" w:styleId="725">
    <w:name w:val="Обычный (веб)"/>
    <w:basedOn w:val="623"/>
    <w:qFormat/>
    <w:pPr>
      <w:spacing w:before="280" w:after="280"/>
    </w:pPr>
    <w:rPr>
      <w:rFonts w:eastAsia="Times New Roman"/>
    </w:rPr>
  </w:style>
  <w:style w:type="paragraph" w:styleId="726">
    <w:name w:val="bullet"/>
    <w:basedOn w:val="623"/>
    <w:qFormat/>
    <w:pPr>
      <w:ind w:left="360" w:hanging="360"/>
      <w:spacing w:line="360" w:lineRule="auto"/>
      <w:tabs>
        <w:tab w:val="left" w:pos="360" w:leader="none"/>
        <w:tab w:val="clear" w:pos="708" w:leader="none"/>
      </w:tabs>
    </w:pPr>
    <w:rPr>
      <w:rFonts w:ascii="Arial" w:hAnsi="Arial" w:eastAsia="Times New Roman" w:cs="Arial"/>
      <w:sz w:val="22"/>
      <w:lang w:val="en-GB"/>
    </w:rPr>
  </w:style>
  <w:style w:type="paragraph" w:styleId="727">
    <w:name w:val="!Заголовок-1"/>
    <w:basedOn w:val="624"/>
    <w:qFormat/>
    <w:pPr>
      <w:numPr>
        <w:ilvl w:val="0"/>
        <w:numId w:val="0"/>
      </w:numPr>
      <w:keepLines w:val="0"/>
      <w:spacing w:before="240" w:after="120" w:line="360" w:lineRule="auto"/>
    </w:pPr>
    <w:rPr>
      <w:rFonts w:ascii="Arial" w:hAnsi="Arial" w:cs="Arial"/>
      <w:caps/>
      <w:color w:val="2c8de6"/>
      <w:sz w:val="36"/>
      <w:szCs w:val="24"/>
      <w:lang w:val="en-US"/>
    </w:rPr>
  </w:style>
  <w:style w:type="paragraph" w:styleId="728">
    <w:name w:val="Table Contents"/>
    <w:basedOn w:val="623"/>
    <w:qFormat/>
    <w:pPr>
      <w:widowControl w:val="off"/>
      <w:suppressLineNumbers/>
    </w:pPr>
  </w:style>
  <w:style w:type="paragraph" w:styleId="729">
    <w:name w:val="Table Heading"/>
    <w:basedOn w:val="728"/>
    <w:qFormat/>
    <w:pPr>
      <w:jc w:val="center"/>
      <w:suppressLineNumbers/>
    </w:pPr>
    <w:rPr>
      <w:b/>
      <w:bCs/>
    </w:rPr>
  </w:style>
  <w:style w:type="numbering" w:styleId="730">
    <w:name w:val="WW8Num1"/>
    <w:qFormat/>
  </w:style>
  <w:style w:type="numbering" w:styleId="731">
    <w:name w:val="WW8Num2"/>
    <w:qFormat/>
  </w:style>
  <w:style w:type="numbering" w:styleId="732">
    <w:name w:val="WW8Num3"/>
    <w:qFormat/>
  </w:style>
  <w:style w:type="numbering" w:styleId="733">
    <w:name w:val="WW8Num4"/>
    <w:qFormat/>
  </w:style>
  <w:style w:type="numbering" w:styleId="734">
    <w:name w:val="WW8Num5"/>
    <w:qFormat/>
  </w:style>
  <w:style w:type="numbering" w:styleId="735">
    <w:name w:val="WW8Num6"/>
    <w:qFormat/>
  </w:style>
  <w:style w:type="numbering" w:styleId="736">
    <w:name w:val="WW8Num7"/>
    <w:qFormat/>
  </w:style>
  <w:style w:type="numbering" w:styleId="737">
    <w:name w:val="WW8Num8"/>
    <w:qFormat/>
  </w:style>
  <w:style w:type="numbering" w:styleId="738">
    <w:name w:val="WW8Num9"/>
    <w:qFormat/>
  </w:style>
  <w:style w:type="numbering" w:styleId="739">
    <w:name w:val="WW8Num10"/>
    <w:qFormat/>
  </w:style>
  <w:style w:type="numbering" w:styleId="740">
    <w:name w:val="WW8Num11"/>
    <w:qFormat/>
  </w:style>
  <w:style w:type="numbering" w:styleId="741">
    <w:name w:val="WW8Num12"/>
    <w:qFormat/>
  </w:style>
  <w:style w:type="numbering" w:styleId="742">
    <w:name w:val="WW8Num13"/>
    <w:qFormat/>
  </w:style>
  <w:style w:type="numbering" w:styleId="743">
    <w:name w:val="WW8Num14"/>
    <w:qFormat/>
  </w:style>
  <w:style w:type="numbering" w:styleId="744">
    <w:name w:val="WW8Num15"/>
    <w:qFormat/>
  </w:style>
  <w:style w:type="numbering" w:styleId="745">
    <w:name w:val="WW8Num16"/>
    <w:qFormat/>
  </w:style>
  <w:style w:type="numbering" w:styleId="746">
    <w:name w:val="WW8Num17"/>
    <w:qFormat/>
  </w:style>
  <w:style w:type="numbering" w:styleId="747">
    <w:name w:val="WW8Num18"/>
    <w:qFormat/>
  </w:style>
  <w:style w:type="numbering" w:styleId="748">
    <w:name w:val="WW8Num19"/>
    <w:qFormat/>
  </w:style>
  <w:style w:type="numbering" w:styleId="749">
    <w:name w:val="WW8Num20"/>
    <w:qFormat/>
  </w:style>
  <w:style w:type="numbering" w:styleId="750">
    <w:name w:val="WW8Num21"/>
    <w:qFormat/>
  </w:style>
  <w:style w:type="numbering" w:styleId="751">
    <w:name w:val="WW8Num22"/>
    <w:qFormat/>
  </w:style>
  <w:style w:type="character" w:styleId="2781" w:default="1">
    <w:name w:val="Default Paragraph Font"/>
    <w:uiPriority w:val="1"/>
    <w:semiHidden/>
    <w:unhideWhenUsed/>
  </w:style>
  <w:style w:type="numbering" w:styleId="2782" w:default="1">
    <w:name w:val="No List"/>
    <w:uiPriority w:val="99"/>
    <w:semiHidden/>
    <w:unhideWhenUsed/>
  </w:style>
  <w:style w:type="table" w:styleId="278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jpg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image" Target="media/image8.png"/><Relationship Id="rId19" Type="http://schemas.openxmlformats.org/officeDocument/2006/relationships/image" Target="media/image9.png"/><Relationship Id="rId20" Type="http://schemas.openxmlformats.org/officeDocument/2006/relationships/image" Target="media/image10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> </cp:keywords>
  <dc:description/>
  <dc:language>en-US</dc:language>
  <cp:lastModifiedBy>Нина Дубровская</cp:lastModifiedBy>
  <cp:revision>29</cp:revision>
  <dcterms:created xsi:type="dcterms:W3CDTF">2017-10-23T20:00:00Z</dcterms:created>
  <dcterms:modified xsi:type="dcterms:W3CDTF">2023-02-20T04:49:20Z</dcterms:modified>
</cp:coreProperties>
</file>